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6EAE41DE" w14:textId="0DD7A63E" w:rsidR="000956CA" w:rsidRDefault="00992DCD" w:rsidP="00A6305C">
      <w:pPr>
        <w:spacing w:after="0" w:line="240" w:lineRule="auto"/>
        <w:jc w:val="both"/>
        <w:rPr>
          <w:rFonts w:ascii="Arial" w:hAnsi="Arial" w:cs="Arial"/>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D06149" w:rsidRPr="00D06149">
        <w:rPr>
          <w:rFonts w:ascii="Arial" w:hAnsi="Arial" w:cs="Arial"/>
          <w:bCs/>
        </w:rPr>
        <w:t>Ефикасно спроведување на стратешката рамка за реформа на јавната администрација и управување со јавни финансии</w:t>
      </w:r>
    </w:p>
    <w:p w14:paraId="6AFC68E9" w14:textId="77777777" w:rsidR="00CC4D24" w:rsidRPr="00786344" w:rsidRDefault="00CC4D24"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2036A152"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p>
    <w:p w14:paraId="30BB6206" w14:textId="1439BAE0"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05C2D7C1"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r w:rsidR="00D06149">
        <w:rPr>
          <w:rFonts w:ascii="Arial" w:hAnsi="Arial" w:cs="Arial"/>
          <w:b/>
          <w:lang w:val="en-US"/>
        </w:rPr>
        <w:t xml:space="preserve"> </w:t>
      </w:r>
      <w:r w:rsidR="00D06149" w:rsidRPr="00931D6A">
        <w:rPr>
          <w:rFonts w:ascii="Arial" w:hAnsi="Arial" w:cs="Arial"/>
          <w:sz w:val="28"/>
          <w:szCs w:val="28"/>
          <w:lang w:val="en-US"/>
        </w:rPr>
        <w:t>√</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5ADD1AF1" w14:textId="6F1F59EF" w:rsidR="00B6650C" w:rsidRPr="00D06149" w:rsidRDefault="00D06149" w:rsidP="6A84DDC1">
      <w:pPr>
        <w:spacing w:after="0" w:line="240" w:lineRule="auto"/>
        <w:jc w:val="both"/>
        <w:rPr>
          <w:rFonts w:ascii="Arial" w:hAnsi="Arial" w:cs="Arial"/>
          <w:bCs/>
          <w:u w:val="single"/>
          <w:lang w:val="en-US"/>
        </w:rPr>
      </w:pPr>
      <w:r w:rsidRPr="00D06149">
        <w:rPr>
          <w:rFonts w:ascii="Arial" w:hAnsi="Arial" w:cs="Arial"/>
          <w:bCs/>
          <w:u w:val="single"/>
        </w:rPr>
        <w:t>Неефикасно спроведување на стратешката рамка за реформа на јавната администрација и управување со јавни финансии</w:t>
      </w:r>
      <w:r>
        <w:rPr>
          <w:rFonts w:ascii="Arial" w:hAnsi="Arial" w:cs="Arial"/>
          <w:bCs/>
          <w:u w:val="single"/>
          <w:lang w:val="en-US"/>
        </w:rPr>
        <w:t>.</w:t>
      </w:r>
    </w:p>
    <w:p w14:paraId="32C949C2" w14:textId="77777777" w:rsidR="00D06149" w:rsidRDefault="00D06149" w:rsidP="6A84DDC1">
      <w:pPr>
        <w:spacing w:after="0" w:line="240" w:lineRule="auto"/>
        <w:jc w:val="both"/>
        <w:rPr>
          <w:rFonts w:ascii="Arial" w:hAnsi="Arial" w:cs="Arial"/>
          <w:b/>
          <w:bCs/>
        </w:rPr>
      </w:pPr>
    </w:p>
    <w:p w14:paraId="3C0234F8" w14:textId="5E23FBE3"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6A8FAD3F" w14:textId="48EABC73" w:rsidR="00D06149" w:rsidRPr="00D06149" w:rsidRDefault="00D06149" w:rsidP="00D06149">
      <w:pPr>
        <w:spacing w:after="0" w:line="240" w:lineRule="auto"/>
        <w:jc w:val="both"/>
        <w:rPr>
          <w:rFonts w:ascii="Arial" w:hAnsi="Arial" w:cs="Arial"/>
          <w:bCs/>
          <w:u w:val="single"/>
        </w:rPr>
      </w:pPr>
      <w:r w:rsidRPr="00D06149">
        <w:rPr>
          <w:rFonts w:ascii="Arial" w:hAnsi="Arial" w:cs="Arial"/>
          <w:bCs/>
          <w:u w:val="single"/>
        </w:rPr>
        <w:t xml:space="preserve">МЈА и МФ треба да одржуваат редовни заеднички консултации за прашања што се релевантни за делотворното спроведување на Стратешката рамка за РЈА и УЈФ. </w:t>
      </w:r>
    </w:p>
    <w:p w14:paraId="0EA04E89" w14:textId="77777777" w:rsidR="00D06149" w:rsidRDefault="00D06149" w:rsidP="00D06149">
      <w:pPr>
        <w:spacing w:after="0" w:line="240" w:lineRule="auto"/>
        <w:jc w:val="both"/>
        <w:rPr>
          <w:rFonts w:ascii="Arial" w:hAnsi="Arial" w:cs="Arial"/>
          <w:bCs/>
          <w:u w:val="single"/>
        </w:rPr>
      </w:pPr>
    </w:p>
    <w:p w14:paraId="3ABFC75C" w14:textId="16C2B325" w:rsidR="009D10DA" w:rsidRDefault="009D10DA" w:rsidP="00D06149">
      <w:pPr>
        <w:spacing w:after="0" w:line="240" w:lineRule="auto"/>
        <w:jc w:val="both"/>
        <w:rPr>
          <w:rFonts w:ascii="Arial" w:hAnsi="Arial" w:cs="Arial"/>
          <w:bCs/>
          <w:u w:val="single"/>
        </w:rPr>
      </w:pPr>
      <w:r>
        <w:rPr>
          <w:rFonts w:ascii="Arial" w:hAnsi="Arial" w:cs="Arial"/>
          <w:bCs/>
          <w:u w:val="single"/>
        </w:rPr>
        <w:t>Н</w:t>
      </w:r>
      <w:r w:rsidR="00D06149" w:rsidRPr="00D06149">
        <w:rPr>
          <w:rFonts w:ascii="Arial" w:hAnsi="Arial" w:cs="Arial"/>
          <w:bCs/>
          <w:u w:val="single"/>
        </w:rPr>
        <w:t xml:space="preserve">ешто што беше оценето како позитивен исчекор во последниот </w:t>
      </w:r>
      <w:r w:rsidRPr="00D06149">
        <w:rPr>
          <w:rFonts w:ascii="Arial" w:hAnsi="Arial" w:cs="Arial"/>
          <w:bCs/>
          <w:u w:val="single"/>
        </w:rPr>
        <w:t>Мон</w:t>
      </w:r>
      <w:r>
        <w:rPr>
          <w:rFonts w:ascii="Arial" w:hAnsi="Arial" w:cs="Arial"/>
          <w:bCs/>
          <w:u w:val="single"/>
        </w:rPr>
        <w:t>и</w:t>
      </w:r>
      <w:r w:rsidRPr="00D06149">
        <w:rPr>
          <w:rFonts w:ascii="Arial" w:hAnsi="Arial" w:cs="Arial"/>
          <w:bCs/>
          <w:u w:val="single"/>
        </w:rPr>
        <w:t xml:space="preserve">тор </w:t>
      </w:r>
      <w:r w:rsidR="00D06149" w:rsidRPr="00D06149">
        <w:rPr>
          <w:rFonts w:ascii="Arial" w:hAnsi="Arial" w:cs="Arial"/>
          <w:bCs/>
          <w:u w:val="single"/>
        </w:rPr>
        <w:t xml:space="preserve">за РЈА што го спроведува ЕПИ, а </w:t>
      </w:r>
      <w:proofErr w:type="spellStart"/>
      <w:r w:rsidR="00D06149" w:rsidRPr="00D06149">
        <w:rPr>
          <w:rFonts w:ascii="Arial" w:hAnsi="Arial" w:cs="Arial"/>
          <w:bCs/>
          <w:u w:val="single"/>
        </w:rPr>
        <w:t>тое</w:t>
      </w:r>
      <w:proofErr w:type="spellEnd"/>
      <w:r w:rsidR="00D06149" w:rsidRPr="00D06149">
        <w:rPr>
          <w:rFonts w:ascii="Arial" w:hAnsi="Arial" w:cs="Arial"/>
          <w:bCs/>
          <w:u w:val="single"/>
        </w:rPr>
        <w:t xml:space="preserve"> е следното: Во април 2022 година, тогашното МИОА објави повик за заинтересираните ГО за вклучување во тематски работни групи за подготовка на новата стратегија за РЈА 2023-2030. Сеопфатни и широки консултации почнаа со ГО во почетните фази на процесот, што претходно недостигаше во процесот на ревизија на претходната стратегија за РЈА. Подготовките за оваа активност почнаа во мај 2022 година, кога во соработка со СИГМА, МИОА организираше подготвителна работилница за новата стратегија. Оваа работилница беше најава за отворање сеопфатен и транспарентен процес, инклузивен дијалог и соработка меѓу МИОА и засегнатите страни во однос на визијата, приоритетните области, целите и вкупниот план за реформи најавната администрација. Стратегијата е документ што е комплементарен со преостанатите релевантни стратешки документи. </w:t>
      </w:r>
    </w:p>
    <w:p w14:paraId="21E1C105" w14:textId="465F61CA" w:rsidR="00B6650C" w:rsidRDefault="00D06149" w:rsidP="00D06149">
      <w:pPr>
        <w:spacing w:after="0" w:line="240" w:lineRule="auto"/>
        <w:jc w:val="both"/>
        <w:rPr>
          <w:rFonts w:ascii="Arial" w:hAnsi="Arial" w:cs="Arial"/>
          <w:bCs/>
          <w:u w:val="single"/>
        </w:rPr>
      </w:pPr>
      <w:r w:rsidRPr="00D06149">
        <w:rPr>
          <w:rFonts w:ascii="Arial" w:hAnsi="Arial" w:cs="Arial"/>
          <w:bCs/>
          <w:u w:val="single"/>
        </w:rPr>
        <w:t>Дотогаш ГО не беа вклучени во административните структури за следење на реализацијата на Стратегијата за РЈА, односно во Секретаријатот за РЈА, како помошно тело на Советот за РЈА. По донесувањето на новата Стратегија</w:t>
      </w:r>
      <w:r w:rsidR="009D10DA">
        <w:rPr>
          <w:rFonts w:ascii="Arial" w:hAnsi="Arial" w:cs="Arial"/>
          <w:bCs/>
          <w:u w:val="single"/>
        </w:rPr>
        <w:t>,</w:t>
      </w:r>
      <w:r w:rsidRPr="00D06149">
        <w:rPr>
          <w:rFonts w:ascii="Arial" w:hAnsi="Arial" w:cs="Arial"/>
          <w:bCs/>
          <w:u w:val="single"/>
        </w:rPr>
        <w:t xml:space="preserve"> граѓанските организации преку свои претставници (член и заменик член) формално се вклучени во Секретаријатот за РЈА </w:t>
      </w:r>
      <w:r w:rsidR="009D10DA">
        <w:rPr>
          <w:rFonts w:ascii="Arial" w:hAnsi="Arial" w:cs="Arial"/>
          <w:bCs/>
          <w:u w:val="single"/>
        </w:rPr>
        <w:t xml:space="preserve">со </w:t>
      </w:r>
      <w:r w:rsidRPr="00D06149">
        <w:rPr>
          <w:rFonts w:ascii="Arial" w:hAnsi="Arial" w:cs="Arial"/>
          <w:bCs/>
          <w:u w:val="single"/>
        </w:rPr>
        <w:t>Одлука за формирање на Секретаријат за РЈА од 07.12.2023 год.</w:t>
      </w:r>
    </w:p>
    <w:p w14:paraId="58B47525" w14:textId="77777777" w:rsidR="00D06149" w:rsidRPr="007C0D77" w:rsidRDefault="00D06149" w:rsidP="00D06149">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7BCC522E" w14:textId="6CE7D0B6" w:rsidR="00D06149" w:rsidRPr="00D06149" w:rsidRDefault="00D06149" w:rsidP="00D06149">
      <w:pPr>
        <w:spacing w:after="0" w:line="240" w:lineRule="auto"/>
        <w:jc w:val="both"/>
        <w:rPr>
          <w:rFonts w:ascii="Arial" w:hAnsi="Arial" w:cs="Arial"/>
          <w:bCs/>
          <w:u w:val="single"/>
        </w:rPr>
      </w:pPr>
      <w:r w:rsidRPr="00D06149">
        <w:rPr>
          <w:rFonts w:ascii="Arial" w:hAnsi="Arial" w:cs="Arial"/>
          <w:bCs/>
          <w:u w:val="single"/>
        </w:rPr>
        <w:t xml:space="preserve">Стратешката рамка се состои од два документа што ја дефинираат агендата за РЈА: Стратегија за реформа на јавната администрација и Програмата за реформа на управувањето со јавни финансии (УЈФ). </w:t>
      </w:r>
      <w:r>
        <w:rPr>
          <w:rFonts w:ascii="Arial" w:hAnsi="Arial" w:cs="Arial"/>
          <w:bCs/>
          <w:u w:val="single"/>
        </w:rPr>
        <w:t xml:space="preserve"> </w:t>
      </w:r>
      <w:r w:rsidRPr="00D06149">
        <w:rPr>
          <w:rFonts w:ascii="Arial" w:hAnsi="Arial" w:cs="Arial"/>
          <w:bCs/>
          <w:u w:val="single"/>
        </w:rPr>
        <w:t xml:space="preserve">Стратегијата за РЈА ја координира МЈА, додека Програмата за реформа на УЈФ е координирана од </w:t>
      </w:r>
      <w:r w:rsidR="009D10DA">
        <w:rPr>
          <w:rFonts w:ascii="Arial" w:hAnsi="Arial" w:cs="Arial"/>
          <w:bCs/>
          <w:u w:val="single"/>
        </w:rPr>
        <w:t>МФ</w:t>
      </w:r>
      <w:r w:rsidRPr="00D06149">
        <w:rPr>
          <w:rFonts w:ascii="Arial" w:hAnsi="Arial" w:cs="Arial"/>
          <w:bCs/>
          <w:u w:val="single"/>
        </w:rPr>
        <w:t>,  а двете се базирани на начелата на СИГМА/ОЕЦД. На тој начин пристапот во следењето на овие два документи ќе биде координиран и ќе се прикажат видливи резултати пред ЕК. МЈА е потребно да изготви нова Одлука за формирање на Секретаријат за РЈА во која ќе бидат вклучени ГО. На тој начин ГО ќе бидат информирани за текот на РЈА и ќе имаат можност да  придонесат кон подобрување на одделни политики.</w:t>
      </w:r>
    </w:p>
    <w:p w14:paraId="42A66FD2" w14:textId="77777777" w:rsidR="00B6650C" w:rsidRPr="00786344" w:rsidRDefault="00B6650C"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6D5324F5" w14:textId="0046774F" w:rsidR="00814263" w:rsidRDefault="0049132C" w:rsidP="00814263">
      <w:pPr>
        <w:spacing w:after="0" w:line="240" w:lineRule="auto"/>
        <w:jc w:val="both"/>
        <w:rPr>
          <w:rFonts w:ascii="Arial" w:hAnsi="Arial" w:cs="Arial"/>
          <w:bCs/>
          <w:u w:val="single"/>
        </w:rPr>
      </w:pPr>
      <w:r w:rsidRPr="0049132C">
        <w:rPr>
          <w:rFonts w:ascii="Arial" w:hAnsi="Arial" w:cs="Arial"/>
          <w:bCs/>
          <w:u w:val="single"/>
        </w:rPr>
        <w:t>Нема финансиски импликации.</w:t>
      </w:r>
    </w:p>
    <w:p w14:paraId="2A5BAF99" w14:textId="77777777" w:rsidR="0049132C" w:rsidRPr="00786344" w:rsidRDefault="0049132C" w:rsidP="00814263">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32D25C0D" w14:textId="17C33528" w:rsidR="0049132C" w:rsidRDefault="00D06149" w:rsidP="00A6305C">
      <w:pPr>
        <w:spacing w:after="0" w:line="240" w:lineRule="auto"/>
        <w:jc w:val="both"/>
        <w:rPr>
          <w:rFonts w:ascii="Arial" w:hAnsi="Arial" w:cs="Arial"/>
          <w:bCs/>
          <w:u w:val="single"/>
        </w:rPr>
      </w:pPr>
      <w:r w:rsidRPr="00D06149">
        <w:rPr>
          <w:rFonts w:ascii="Arial" w:hAnsi="Arial" w:cs="Arial"/>
          <w:bCs/>
          <w:u w:val="single"/>
        </w:rPr>
        <w:t>Успешноста на иницијативата ќе се следи преку степенот на реализација на заклучоците од Специјалната група за РЈА и Дијалогот за политиките за УЈФ, како и преку вклученоста и придонесот на ГО во процесот на РЈА.</w:t>
      </w:r>
    </w:p>
    <w:p w14:paraId="36DAF854" w14:textId="77777777" w:rsidR="00D06149" w:rsidRPr="00F92EDC" w:rsidRDefault="00D06149"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7F1B5BB9" w:rsidR="00CD1E02" w:rsidRDefault="00CD1E02" w:rsidP="00A6305C">
      <w:pPr>
        <w:spacing w:after="0" w:line="240" w:lineRule="auto"/>
        <w:jc w:val="both"/>
        <w:rPr>
          <w:rFonts w:ascii="Arial" w:hAnsi="Arial" w:cs="Arial"/>
        </w:rPr>
      </w:pPr>
    </w:p>
    <w:p w14:paraId="62BE0BAC" w14:textId="2D7E2B4A" w:rsidR="00B6650C" w:rsidRDefault="00D06149" w:rsidP="00B6650C">
      <w:pPr>
        <w:spacing w:after="0" w:line="240" w:lineRule="auto"/>
        <w:jc w:val="both"/>
        <w:rPr>
          <w:rFonts w:ascii="Arial" w:hAnsi="Arial" w:cs="Arial"/>
          <w:u w:val="single"/>
        </w:rPr>
      </w:pPr>
      <w:r w:rsidRPr="00D06149">
        <w:rPr>
          <w:rFonts w:ascii="Arial" w:hAnsi="Arial" w:cs="Arial"/>
          <w:u w:val="single"/>
        </w:rPr>
        <w:t xml:space="preserve">Во Мониторот за РЈА што го спроведува ЕПИ за оваа област се дефинирани се два индикатори. Првиот се фокусира на постоењето и квалитетот на процесот на консултации во составувањето на клучните стратешки документи за РЈА. </w:t>
      </w:r>
      <w:proofErr w:type="spellStart"/>
      <w:r w:rsidRPr="00D06149">
        <w:rPr>
          <w:rFonts w:ascii="Arial" w:hAnsi="Arial" w:cs="Arial"/>
          <w:u w:val="single"/>
        </w:rPr>
        <w:t>Најсеопфатните</w:t>
      </w:r>
      <w:proofErr w:type="spellEnd"/>
      <w:r w:rsidRPr="00D06149">
        <w:rPr>
          <w:rFonts w:ascii="Arial" w:hAnsi="Arial" w:cs="Arial"/>
          <w:u w:val="single"/>
        </w:rPr>
        <w:t xml:space="preserve"> документи за РЈА (стратегии за РЈА и слично) и документите за реформа на УЈФ се избрани како задолжителни елементи на примерокот, додека селекцијата на останатите стратешки документи, кои ги опфаќаат останатите области на РЈА, зависи од актуелната агендата за РЈА во земјите.  Вториот индикатор се однесува на вклученоста/учеството на ГО во структурите за координација и мониторинг на РЈА и УЈФ.</w:t>
      </w:r>
    </w:p>
    <w:p w14:paraId="5C4F86E1" w14:textId="77777777" w:rsidR="00D06149" w:rsidRPr="00786344" w:rsidRDefault="00D06149" w:rsidP="00B6650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7FDE9B3B" w14:textId="77777777" w:rsidR="0049132C" w:rsidRPr="0049132C" w:rsidRDefault="0049132C" w:rsidP="0049132C">
      <w:pPr>
        <w:spacing w:after="0" w:line="240" w:lineRule="auto"/>
        <w:jc w:val="both"/>
        <w:rPr>
          <w:rFonts w:ascii="Arial" w:hAnsi="Arial" w:cs="Arial"/>
          <w:bCs/>
          <w:iCs/>
          <w:u w:val="single"/>
        </w:rPr>
      </w:pPr>
      <w:r w:rsidRPr="0049132C">
        <w:rPr>
          <w:rFonts w:ascii="Arial" w:hAnsi="Arial" w:cs="Arial"/>
          <w:bCs/>
          <w:iCs/>
          <w:u w:val="single"/>
        </w:rPr>
        <w:t xml:space="preserve">Јулијана </w:t>
      </w:r>
      <w:proofErr w:type="spellStart"/>
      <w:r w:rsidRPr="0049132C">
        <w:rPr>
          <w:rFonts w:ascii="Arial" w:hAnsi="Arial" w:cs="Arial"/>
          <w:bCs/>
          <w:iCs/>
          <w:u w:val="single"/>
        </w:rPr>
        <w:t>Караи</w:t>
      </w:r>
      <w:proofErr w:type="spellEnd"/>
      <w:r w:rsidRPr="0049132C">
        <w:rPr>
          <w:rFonts w:ascii="Arial" w:hAnsi="Arial" w:cs="Arial"/>
          <w:bCs/>
          <w:iCs/>
          <w:u w:val="single"/>
        </w:rPr>
        <w:t xml:space="preserve">, Ангел Мојсовски, </w:t>
      </w:r>
    </w:p>
    <w:p w14:paraId="19F63433" w14:textId="1EF532FB" w:rsidR="0049132C" w:rsidRPr="0049132C" w:rsidRDefault="0049132C" w:rsidP="0049132C">
      <w:pPr>
        <w:spacing w:after="0" w:line="240" w:lineRule="auto"/>
        <w:jc w:val="both"/>
        <w:rPr>
          <w:rFonts w:ascii="Arial" w:hAnsi="Arial" w:cs="Arial"/>
          <w:bCs/>
          <w:iCs/>
          <w:u w:val="single"/>
        </w:rPr>
      </w:pPr>
      <w:hyperlink r:id="rId13" w:history="1">
        <w:r w:rsidRPr="0049132C">
          <w:rPr>
            <w:rStyle w:val="Hyperlink"/>
            <w:rFonts w:ascii="Arial" w:hAnsi="Arial" w:cs="Arial"/>
            <w:bCs/>
            <w:iCs/>
          </w:rPr>
          <w:t>Национален монитор за РЈА 2021/2022</w:t>
        </w:r>
      </w:hyperlink>
      <w:r w:rsidRPr="0049132C">
        <w:rPr>
          <w:rFonts w:ascii="Arial" w:hAnsi="Arial" w:cs="Arial"/>
          <w:bCs/>
          <w:iCs/>
          <w:u w:val="single"/>
        </w:rPr>
        <w:t xml:space="preserve"> </w:t>
      </w:r>
    </w:p>
    <w:p w14:paraId="16D4E268" w14:textId="3FB19363" w:rsidR="00B21154" w:rsidRPr="00AD20C9" w:rsidRDefault="00B21154" w:rsidP="007D2F0B">
      <w:pPr>
        <w:spacing w:after="0" w:line="240" w:lineRule="auto"/>
        <w:jc w:val="both"/>
        <w:rPr>
          <w:rFonts w:ascii="Arial" w:hAnsi="Arial" w:cs="Arial"/>
          <w:bCs/>
        </w:rPr>
      </w:pPr>
    </w:p>
    <w:sectPr w:rsidR="00B21154" w:rsidRPr="00AD20C9"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3C6C" w14:textId="77777777" w:rsidR="006C5AF8" w:rsidRDefault="006C5AF8" w:rsidP="00931D6A">
      <w:pPr>
        <w:spacing w:after="0" w:line="240" w:lineRule="auto"/>
      </w:pPr>
      <w:r>
        <w:separator/>
      </w:r>
    </w:p>
  </w:endnote>
  <w:endnote w:type="continuationSeparator" w:id="0">
    <w:p w14:paraId="668263AF" w14:textId="77777777" w:rsidR="006C5AF8" w:rsidRDefault="006C5AF8"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A16C" w14:textId="77777777" w:rsidR="006C5AF8" w:rsidRDefault="006C5AF8" w:rsidP="00931D6A">
      <w:pPr>
        <w:spacing w:after="0" w:line="240" w:lineRule="auto"/>
      </w:pPr>
      <w:r>
        <w:separator/>
      </w:r>
    </w:p>
  </w:footnote>
  <w:footnote w:type="continuationSeparator" w:id="0">
    <w:p w14:paraId="2B3864EF" w14:textId="77777777" w:rsidR="006C5AF8" w:rsidRDefault="006C5AF8"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6115825">
    <w:abstractNumId w:val="0"/>
  </w:num>
  <w:num w:numId="2" w16cid:durableId="445197202">
    <w:abstractNumId w:val="2"/>
  </w:num>
  <w:num w:numId="3" w16cid:durableId="1466776291">
    <w:abstractNumId w:val="3"/>
    <w:lvlOverride w:ilvl="0">
      <w:startOverride w:val="1"/>
    </w:lvlOverride>
    <w:lvlOverride w:ilvl="1"/>
    <w:lvlOverride w:ilvl="2"/>
    <w:lvlOverride w:ilvl="3"/>
    <w:lvlOverride w:ilvl="4"/>
    <w:lvlOverride w:ilvl="5"/>
    <w:lvlOverride w:ilvl="6"/>
    <w:lvlOverride w:ilvl="7"/>
    <w:lvlOverride w:ilvl="8"/>
  </w:num>
  <w:num w:numId="4" w16cid:durableId="165675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956CA"/>
    <w:rsid w:val="001418DE"/>
    <w:rsid w:val="001B65C0"/>
    <w:rsid w:val="001E28E2"/>
    <w:rsid w:val="0025430C"/>
    <w:rsid w:val="002717B3"/>
    <w:rsid w:val="002B517B"/>
    <w:rsid w:val="00336028"/>
    <w:rsid w:val="003664B7"/>
    <w:rsid w:val="003902FB"/>
    <w:rsid w:val="00391919"/>
    <w:rsid w:val="00403936"/>
    <w:rsid w:val="004203EB"/>
    <w:rsid w:val="0049132C"/>
    <w:rsid w:val="004A3591"/>
    <w:rsid w:val="004C3B23"/>
    <w:rsid w:val="004F0006"/>
    <w:rsid w:val="005D52BE"/>
    <w:rsid w:val="00617458"/>
    <w:rsid w:val="006323B0"/>
    <w:rsid w:val="00693BB5"/>
    <w:rsid w:val="006C5AF8"/>
    <w:rsid w:val="006E32ED"/>
    <w:rsid w:val="007157E8"/>
    <w:rsid w:val="00722F55"/>
    <w:rsid w:val="007750B7"/>
    <w:rsid w:val="007821CB"/>
    <w:rsid w:val="00786344"/>
    <w:rsid w:val="00790BF0"/>
    <w:rsid w:val="007C0D77"/>
    <w:rsid w:val="007D2F0B"/>
    <w:rsid w:val="00814263"/>
    <w:rsid w:val="00884E1D"/>
    <w:rsid w:val="0089747D"/>
    <w:rsid w:val="008C2964"/>
    <w:rsid w:val="008D2B70"/>
    <w:rsid w:val="00931D6A"/>
    <w:rsid w:val="00942428"/>
    <w:rsid w:val="009808FA"/>
    <w:rsid w:val="00992DCD"/>
    <w:rsid w:val="009B3DA4"/>
    <w:rsid w:val="009D10DA"/>
    <w:rsid w:val="00A13670"/>
    <w:rsid w:val="00A6305C"/>
    <w:rsid w:val="00A92826"/>
    <w:rsid w:val="00AD20C9"/>
    <w:rsid w:val="00AD7CC5"/>
    <w:rsid w:val="00AF0973"/>
    <w:rsid w:val="00B13AFA"/>
    <w:rsid w:val="00B21154"/>
    <w:rsid w:val="00B22207"/>
    <w:rsid w:val="00B22753"/>
    <w:rsid w:val="00B27AA5"/>
    <w:rsid w:val="00B6650C"/>
    <w:rsid w:val="00BF0EF4"/>
    <w:rsid w:val="00C10A1E"/>
    <w:rsid w:val="00C234E4"/>
    <w:rsid w:val="00C244E5"/>
    <w:rsid w:val="00CC2A42"/>
    <w:rsid w:val="00CC4D24"/>
    <w:rsid w:val="00CD1E02"/>
    <w:rsid w:val="00D06149"/>
    <w:rsid w:val="00D67C3B"/>
    <w:rsid w:val="00DF5AE4"/>
    <w:rsid w:val="00E6222F"/>
    <w:rsid w:val="00E905C1"/>
    <w:rsid w:val="00EB7A74"/>
    <w:rsid w:val="00F16E0F"/>
    <w:rsid w:val="00F63505"/>
    <w:rsid w:val="00F73A1E"/>
    <w:rsid w:val="00F92EDC"/>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3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NATIONAL-PAR-MONITOR-NORTH-MACEDONIA-_-2021_2022_MK-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7DD90-D5C7-4F5B-BC1D-99604D3C2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2024-10-03T12:11:00Z</dcterms:created>
  <dcterms:modified xsi:type="dcterms:W3CDTF">2024-10-03T12:11:00Z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